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EC" w:rsidRPr="00C8252C" w:rsidRDefault="00564E1A">
      <w:pPr>
        <w:rPr>
          <w:sz w:val="24"/>
          <w:szCs w:val="24"/>
        </w:rPr>
      </w:pPr>
      <w:bookmarkStart w:id="0" w:name="_GoBack"/>
      <w:bookmarkEnd w:id="0"/>
      <w:r w:rsidRPr="00C8252C">
        <w:rPr>
          <w:sz w:val="24"/>
          <w:szCs w:val="24"/>
        </w:rPr>
        <w:t>R</w:t>
      </w:r>
      <w:r w:rsidR="008D01EC" w:rsidRPr="00C8252C">
        <w:rPr>
          <w:sz w:val="24"/>
          <w:szCs w:val="24"/>
        </w:rPr>
        <w:t xml:space="preserve">EGULARIZACION CATASTRAL </w:t>
      </w:r>
    </w:p>
    <w:p w:rsidR="008D01EC" w:rsidRPr="00C8252C" w:rsidRDefault="008D01EC">
      <w:pPr>
        <w:rPr>
          <w:sz w:val="24"/>
          <w:szCs w:val="24"/>
        </w:rPr>
      </w:pPr>
      <w:r w:rsidRPr="00C8252C">
        <w:rPr>
          <w:sz w:val="24"/>
          <w:szCs w:val="24"/>
        </w:rPr>
        <w:t>Expediente</w:t>
      </w:r>
    </w:p>
    <w:p w:rsidR="008D01EC" w:rsidRPr="00C8252C" w:rsidRDefault="008D01EC">
      <w:pPr>
        <w:rPr>
          <w:sz w:val="24"/>
          <w:szCs w:val="24"/>
        </w:rPr>
      </w:pPr>
    </w:p>
    <w:p w:rsidR="00564E1A" w:rsidRPr="00C8252C" w:rsidRDefault="003C4D79" w:rsidP="00C8252C">
      <w:pPr>
        <w:jc w:val="center"/>
        <w:rPr>
          <w:sz w:val="24"/>
          <w:szCs w:val="24"/>
        </w:rPr>
      </w:pPr>
      <w:r w:rsidRPr="00C8252C">
        <w:rPr>
          <w:sz w:val="24"/>
          <w:szCs w:val="24"/>
        </w:rPr>
        <w:t xml:space="preserve">A LA </w:t>
      </w:r>
      <w:r w:rsidR="006C0F7D" w:rsidRPr="00C8252C">
        <w:rPr>
          <w:sz w:val="24"/>
          <w:szCs w:val="24"/>
        </w:rPr>
        <w:t>GERENCIA REGIONAL</w:t>
      </w:r>
      <w:r w:rsidRPr="00C8252C">
        <w:rPr>
          <w:sz w:val="24"/>
          <w:szCs w:val="24"/>
        </w:rPr>
        <w:t xml:space="preserve"> DEL CATASTRO DE MADRID</w:t>
      </w:r>
    </w:p>
    <w:p w:rsidR="008D01EC" w:rsidRPr="00C8252C" w:rsidRDefault="008D01EC" w:rsidP="00564E1A">
      <w:pPr>
        <w:jc w:val="both"/>
        <w:rPr>
          <w:sz w:val="24"/>
          <w:szCs w:val="24"/>
        </w:rPr>
      </w:pPr>
      <w:r w:rsidRPr="00C8252C">
        <w:rPr>
          <w:sz w:val="24"/>
          <w:szCs w:val="24"/>
        </w:rPr>
        <w:t xml:space="preserve">                         </w:t>
      </w:r>
      <w:r w:rsidRPr="00C8252C">
        <w:rPr>
          <w:sz w:val="24"/>
          <w:szCs w:val="24"/>
        </w:rPr>
        <w:tab/>
        <w:t>DON</w:t>
      </w:r>
      <w:proofErr w:type="gramStart"/>
      <w:r w:rsidRPr="00C8252C">
        <w:rPr>
          <w:sz w:val="24"/>
          <w:szCs w:val="24"/>
        </w:rPr>
        <w:t>..</w:t>
      </w:r>
      <w:proofErr w:type="gramEnd"/>
      <w:r w:rsidR="0085447A" w:rsidRPr="00C8252C">
        <w:rPr>
          <w:sz w:val="24"/>
          <w:szCs w:val="24"/>
        </w:rPr>
        <w:t>……………………………………………</w:t>
      </w:r>
      <w:r w:rsidRPr="00C8252C">
        <w:rPr>
          <w:sz w:val="24"/>
          <w:szCs w:val="24"/>
        </w:rPr>
        <w:t>,  mayor de edad, vecino de Madrid, con domicilio en la calle …………………., piso</w:t>
      </w:r>
      <w:proofErr w:type="gramStart"/>
      <w:r w:rsidRPr="00C8252C">
        <w:rPr>
          <w:sz w:val="24"/>
          <w:szCs w:val="24"/>
        </w:rPr>
        <w:t>..</w:t>
      </w:r>
      <w:proofErr w:type="gramEnd"/>
      <w:r w:rsidRPr="00C8252C">
        <w:rPr>
          <w:sz w:val="24"/>
          <w:szCs w:val="24"/>
        </w:rPr>
        <w:t xml:space="preserve"> letra…, provisto de </w:t>
      </w:r>
      <w:r w:rsidR="00564E1A" w:rsidRPr="00C8252C">
        <w:rPr>
          <w:sz w:val="24"/>
          <w:szCs w:val="24"/>
        </w:rPr>
        <w:t xml:space="preserve">DNI  </w:t>
      </w:r>
      <w:r w:rsidR="0085447A" w:rsidRPr="00C8252C">
        <w:rPr>
          <w:sz w:val="24"/>
          <w:szCs w:val="24"/>
        </w:rPr>
        <w:t>………………</w:t>
      </w:r>
      <w:r w:rsidR="00240D42" w:rsidRPr="00C8252C">
        <w:rPr>
          <w:sz w:val="24"/>
          <w:szCs w:val="24"/>
        </w:rPr>
        <w:t>, e</w:t>
      </w:r>
      <w:r w:rsidR="00564E1A" w:rsidRPr="00C8252C">
        <w:rPr>
          <w:sz w:val="24"/>
          <w:szCs w:val="24"/>
        </w:rPr>
        <w:t xml:space="preserve">n calidad de titular del </w:t>
      </w:r>
      <w:r w:rsidRPr="00C8252C">
        <w:rPr>
          <w:sz w:val="24"/>
          <w:szCs w:val="24"/>
        </w:rPr>
        <w:t>inmueble</w:t>
      </w:r>
      <w:r w:rsidR="00564E1A" w:rsidRPr="00C8252C">
        <w:rPr>
          <w:sz w:val="24"/>
          <w:szCs w:val="24"/>
        </w:rPr>
        <w:t xml:space="preserve"> señalado </w:t>
      </w:r>
      <w:r w:rsidRPr="00C8252C">
        <w:rPr>
          <w:sz w:val="24"/>
          <w:szCs w:val="24"/>
        </w:rPr>
        <w:t xml:space="preserve">con </w:t>
      </w:r>
      <w:r w:rsidR="00564E1A" w:rsidRPr="00C8252C">
        <w:rPr>
          <w:sz w:val="24"/>
          <w:szCs w:val="24"/>
        </w:rPr>
        <w:t xml:space="preserve">el </w:t>
      </w:r>
      <w:r w:rsidR="00B31FB3" w:rsidRPr="00C8252C">
        <w:rPr>
          <w:sz w:val="24"/>
          <w:szCs w:val="24"/>
        </w:rPr>
        <w:t>número</w:t>
      </w:r>
      <w:r w:rsidR="00564E1A" w:rsidRPr="00C8252C">
        <w:rPr>
          <w:sz w:val="24"/>
          <w:szCs w:val="24"/>
        </w:rPr>
        <w:t xml:space="preserve"> de referencia</w:t>
      </w:r>
      <w:r w:rsidRPr="00C8252C">
        <w:rPr>
          <w:sz w:val="24"/>
          <w:szCs w:val="24"/>
        </w:rPr>
        <w:t xml:space="preserve"> catastral</w:t>
      </w:r>
      <w:r w:rsidR="00564E1A" w:rsidRPr="00C8252C">
        <w:rPr>
          <w:sz w:val="24"/>
          <w:szCs w:val="24"/>
        </w:rPr>
        <w:t xml:space="preserve"> </w:t>
      </w:r>
      <w:r w:rsidR="00C8252C" w:rsidRPr="00C8252C">
        <w:rPr>
          <w:sz w:val="24"/>
          <w:szCs w:val="24"/>
        </w:rPr>
        <w:t>………………,</w:t>
      </w:r>
      <w:r w:rsidRPr="00C8252C">
        <w:rPr>
          <w:sz w:val="24"/>
          <w:szCs w:val="24"/>
        </w:rPr>
        <w:t>ante dicho Departamento comparezco y como mejor proceda en Derecho, DIGO:</w:t>
      </w:r>
    </w:p>
    <w:p w:rsidR="00564E1A" w:rsidRPr="00C8252C" w:rsidRDefault="008D01EC" w:rsidP="00564E1A">
      <w:pPr>
        <w:jc w:val="both"/>
        <w:rPr>
          <w:sz w:val="24"/>
          <w:szCs w:val="24"/>
        </w:rPr>
      </w:pPr>
      <w:r w:rsidRPr="00C8252C">
        <w:rPr>
          <w:sz w:val="24"/>
          <w:szCs w:val="24"/>
        </w:rPr>
        <w:t xml:space="preserve">                             Que habiéndoseme notificado la propuesta de Resolución con acuerdo de alteración de fecha…………</w:t>
      </w:r>
      <w:r w:rsidR="006C0F7D" w:rsidRPr="00C8252C">
        <w:rPr>
          <w:sz w:val="24"/>
          <w:szCs w:val="24"/>
        </w:rPr>
        <w:t>……</w:t>
      </w:r>
      <w:r w:rsidRPr="00C8252C">
        <w:rPr>
          <w:sz w:val="24"/>
          <w:szCs w:val="24"/>
        </w:rPr>
        <w:t xml:space="preserve">, con </w:t>
      </w:r>
      <w:r w:rsidR="000B3BAE" w:rsidRPr="00C8252C">
        <w:rPr>
          <w:sz w:val="24"/>
          <w:szCs w:val="24"/>
        </w:rPr>
        <w:t>núm.</w:t>
      </w:r>
      <w:r w:rsidRPr="00C8252C">
        <w:rPr>
          <w:sz w:val="24"/>
          <w:szCs w:val="24"/>
        </w:rPr>
        <w:t xml:space="preserve"> de documento…………………….., sobre regularización catastral,  cuya copia adjunto al presente escrito, como DOC. NUM. UNO, </w:t>
      </w:r>
      <w:r w:rsidR="001F481D" w:rsidRPr="00C8252C">
        <w:rPr>
          <w:sz w:val="24"/>
          <w:szCs w:val="24"/>
        </w:rPr>
        <w:t>dentro del plazo legal conferido, procedo a formular las siguientes:</w:t>
      </w:r>
      <w:r w:rsidRPr="00C8252C">
        <w:rPr>
          <w:sz w:val="24"/>
          <w:szCs w:val="24"/>
        </w:rPr>
        <w:t xml:space="preserve"> </w:t>
      </w:r>
    </w:p>
    <w:p w:rsidR="000B3BAE" w:rsidRPr="00C8252C" w:rsidRDefault="000B3BAE" w:rsidP="00240D42">
      <w:pPr>
        <w:jc w:val="center"/>
        <w:rPr>
          <w:sz w:val="24"/>
          <w:szCs w:val="24"/>
        </w:rPr>
      </w:pPr>
    </w:p>
    <w:p w:rsidR="00240D42" w:rsidRPr="00C8252C" w:rsidRDefault="00240D42" w:rsidP="00240D42">
      <w:pPr>
        <w:jc w:val="center"/>
        <w:rPr>
          <w:sz w:val="24"/>
          <w:szCs w:val="24"/>
        </w:rPr>
      </w:pPr>
      <w:r w:rsidRPr="00C8252C">
        <w:rPr>
          <w:sz w:val="24"/>
          <w:szCs w:val="24"/>
        </w:rPr>
        <w:t>ALEGACIONES</w:t>
      </w:r>
    </w:p>
    <w:p w:rsidR="00160555" w:rsidRPr="00C8252C" w:rsidRDefault="00160555" w:rsidP="00564E1A">
      <w:pPr>
        <w:jc w:val="both"/>
        <w:rPr>
          <w:sz w:val="24"/>
          <w:szCs w:val="24"/>
        </w:rPr>
      </w:pPr>
    </w:p>
    <w:p w:rsidR="00564E1A" w:rsidRPr="00C8252C" w:rsidRDefault="009C42F3" w:rsidP="00564E1A">
      <w:pPr>
        <w:jc w:val="both"/>
        <w:rPr>
          <w:sz w:val="24"/>
          <w:szCs w:val="24"/>
        </w:rPr>
      </w:pPr>
      <w:r w:rsidRPr="00C8252C">
        <w:rPr>
          <w:sz w:val="24"/>
          <w:szCs w:val="24"/>
        </w:rPr>
        <w:t>1.-La L</w:t>
      </w:r>
      <w:r w:rsidR="00DB6E1B" w:rsidRPr="00C8252C">
        <w:rPr>
          <w:sz w:val="24"/>
          <w:szCs w:val="24"/>
        </w:rPr>
        <w:t>ey 16/2012 añade al TRLC</w:t>
      </w:r>
      <w:r w:rsidR="00053020" w:rsidRPr="00C8252C">
        <w:rPr>
          <w:sz w:val="24"/>
          <w:szCs w:val="24"/>
        </w:rPr>
        <w:t xml:space="preserve"> 1/2004</w:t>
      </w:r>
      <w:r w:rsidR="00DB6E1B" w:rsidRPr="00C8252C">
        <w:rPr>
          <w:sz w:val="24"/>
          <w:szCs w:val="24"/>
        </w:rPr>
        <w:t xml:space="preserve"> la disposición adicional tercera dando cobertura legal al establecimiento de una llamada “tasa de regularización catastral” </w:t>
      </w:r>
      <w:r w:rsidR="006F0361" w:rsidRPr="00C8252C">
        <w:rPr>
          <w:sz w:val="24"/>
          <w:szCs w:val="24"/>
        </w:rPr>
        <w:t xml:space="preserve">de 60€ </w:t>
      </w:r>
      <w:r w:rsidR="00DB6E1B" w:rsidRPr="00C8252C">
        <w:rPr>
          <w:sz w:val="24"/>
          <w:szCs w:val="24"/>
        </w:rPr>
        <w:t>cuyo efecto</w:t>
      </w:r>
      <w:r w:rsidR="00F122E2" w:rsidRPr="00C8252C">
        <w:rPr>
          <w:sz w:val="24"/>
          <w:szCs w:val="24"/>
        </w:rPr>
        <w:t xml:space="preserve"> entra en vigor </w:t>
      </w:r>
      <w:r w:rsidR="00DB6E1B" w:rsidRPr="00C8252C">
        <w:rPr>
          <w:sz w:val="24"/>
          <w:szCs w:val="24"/>
        </w:rPr>
        <w:t xml:space="preserve"> el 1 de Enero de 2013. </w:t>
      </w:r>
    </w:p>
    <w:p w:rsidR="00DB6E1B" w:rsidRPr="00C8252C" w:rsidRDefault="00DB6E1B" w:rsidP="00564E1A">
      <w:pPr>
        <w:jc w:val="both"/>
        <w:rPr>
          <w:sz w:val="24"/>
          <w:szCs w:val="24"/>
        </w:rPr>
      </w:pPr>
      <w:r w:rsidRPr="00C8252C">
        <w:rPr>
          <w:sz w:val="24"/>
          <w:szCs w:val="24"/>
        </w:rPr>
        <w:t>2.-</w:t>
      </w:r>
      <w:r w:rsidR="006F0361" w:rsidRPr="00C8252C">
        <w:rPr>
          <w:sz w:val="24"/>
          <w:szCs w:val="24"/>
        </w:rPr>
        <w:t xml:space="preserve">Nuestro ordenamiento jurídico </w:t>
      </w:r>
      <w:r w:rsidR="00160555" w:rsidRPr="00C8252C">
        <w:rPr>
          <w:sz w:val="24"/>
          <w:szCs w:val="24"/>
        </w:rPr>
        <w:t xml:space="preserve">de </w:t>
      </w:r>
      <w:r w:rsidR="00240D42" w:rsidRPr="00C8252C">
        <w:rPr>
          <w:sz w:val="24"/>
          <w:szCs w:val="24"/>
        </w:rPr>
        <w:t>forma reiterada,</w:t>
      </w:r>
      <w:r w:rsidR="006F0361" w:rsidRPr="00C8252C">
        <w:rPr>
          <w:sz w:val="24"/>
          <w:szCs w:val="24"/>
        </w:rPr>
        <w:t xml:space="preserve"> avalado por los principios </w:t>
      </w:r>
      <w:proofErr w:type="gramStart"/>
      <w:r w:rsidR="006F0361" w:rsidRPr="00C8252C">
        <w:rPr>
          <w:sz w:val="24"/>
          <w:szCs w:val="24"/>
        </w:rPr>
        <w:t>con</w:t>
      </w:r>
      <w:r w:rsidR="00053020" w:rsidRPr="00C8252C">
        <w:rPr>
          <w:sz w:val="24"/>
          <w:szCs w:val="24"/>
        </w:rPr>
        <w:t>st</w:t>
      </w:r>
      <w:r w:rsidR="006F0361" w:rsidRPr="00C8252C">
        <w:rPr>
          <w:sz w:val="24"/>
          <w:szCs w:val="24"/>
        </w:rPr>
        <w:t>itucionales</w:t>
      </w:r>
      <w:proofErr w:type="gramEnd"/>
      <w:r w:rsidR="006F0361" w:rsidRPr="00C8252C">
        <w:rPr>
          <w:sz w:val="24"/>
          <w:szCs w:val="24"/>
        </w:rPr>
        <w:t xml:space="preserve"> señalados en el art. 9  y 25 de la </w:t>
      </w:r>
      <w:r w:rsidR="00B31FB3" w:rsidRPr="00C8252C">
        <w:rPr>
          <w:sz w:val="24"/>
          <w:szCs w:val="24"/>
        </w:rPr>
        <w:t>Constitución</w:t>
      </w:r>
      <w:r w:rsidR="006F0361" w:rsidRPr="00C8252C">
        <w:rPr>
          <w:sz w:val="24"/>
          <w:szCs w:val="24"/>
        </w:rPr>
        <w:t xml:space="preserve"> garantizan la “irretroactividad de las leyes” y </w:t>
      </w:r>
      <w:r w:rsidR="00160A8E" w:rsidRPr="00C8252C">
        <w:rPr>
          <w:sz w:val="24"/>
          <w:szCs w:val="24"/>
        </w:rPr>
        <w:t>la prohibición de la sanción “por acciones y omisiones que en el momento de producirse no constituyeran infracción”</w:t>
      </w:r>
      <w:r w:rsidR="009E2FFC" w:rsidRPr="00C8252C">
        <w:rPr>
          <w:sz w:val="24"/>
          <w:szCs w:val="24"/>
        </w:rPr>
        <w:t>.</w:t>
      </w:r>
    </w:p>
    <w:p w:rsidR="009E2FFC" w:rsidRPr="00C8252C" w:rsidRDefault="009E2FFC" w:rsidP="00564E1A">
      <w:pPr>
        <w:jc w:val="both"/>
        <w:rPr>
          <w:sz w:val="24"/>
          <w:szCs w:val="24"/>
        </w:rPr>
      </w:pPr>
      <w:r w:rsidRPr="00C8252C">
        <w:rPr>
          <w:sz w:val="24"/>
          <w:szCs w:val="24"/>
        </w:rPr>
        <w:t xml:space="preserve">Asimismo es necesario consignar, que en este supuesto que es objeto de este recurso, la “tasa de regularización catastral”, no procede, por cuanto la actuación de la Administración, es innecesaria, por cuanto se refiere obras de mantenimiento y conservación como más adelante se dirá. </w:t>
      </w:r>
    </w:p>
    <w:p w:rsidR="00D55A46" w:rsidRPr="00C8252C" w:rsidRDefault="00F122E2" w:rsidP="00564E1A">
      <w:pPr>
        <w:jc w:val="both"/>
        <w:rPr>
          <w:sz w:val="24"/>
          <w:szCs w:val="24"/>
        </w:rPr>
      </w:pPr>
      <w:r w:rsidRPr="00C8252C">
        <w:rPr>
          <w:sz w:val="24"/>
          <w:szCs w:val="24"/>
        </w:rPr>
        <w:t>3.-</w:t>
      </w:r>
      <w:r w:rsidR="009C42F3" w:rsidRPr="00C8252C">
        <w:rPr>
          <w:sz w:val="24"/>
          <w:szCs w:val="24"/>
        </w:rPr>
        <w:t>La L</w:t>
      </w:r>
      <w:r w:rsidR="00D55A46" w:rsidRPr="00C8252C">
        <w:rPr>
          <w:sz w:val="24"/>
          <w:szCs w:val="24"/>
        </w:rPr>
        <w:t xml:space="preserve">ey General Presupuestaria 47/2003 en su </w:t>
      </w:r>
      <w:r w:rsidR="00B31FB3" w:rsidRPr="00C8252C">
        <w:rPr>
          <w:sz w:val="24"/>
          <w:szCs w:val="24"/>
        </w:rPr>
        <w:t>artículo</w:t>
      </w:r>
      <w:r w:rsidR="00D55A46" w:rsidRPr="00C8252C">
        <w:rPr>
          <w:sz w:val="24"/>
          <w:szCs w:val="24"/>
        </w:rPr>
        <w:t xml:space="preserve"> 25 señala que el tra</w:t>
      </w:r>
      <w:r w:rsidR="009C42F3" w:rsidRPr="00C8252C">
        <w:rPr>
          <w:sz w:val="24"/>
          <w:szCs w:val="24"/>
        </w:rPr>
        <w:t>n</w:t>
      </w:r>
      <w:r w:rsidR="00D55A46" w:rsidRPr="00C8252C">
        <w:rPr>
          <w:sz w:val="24"/>
          <w:szCs w:val="24"/>
        </w:rPr>
        <w:t xml:space="preserve">scurso de cuatro años contados “desde el día en que el derecho pudo ejercitarse” hace que la deuda exigible </w:t>
      </w:r>
      <w:r w:rsidR="00240D42" w:rsidRPr="00C8252C">
        <w:rPr>
          <w:sz w:val="24"/>
          <w:szCs w:val="24"/>
        </w:rPr>
        <w:t>prescriba</w:t>
      </w:r>
      <w:r w:rsidR="00D55A46" w:rsidRPr="00C8252C">
        <w:rPr>
          <w:sz w:val="24"/>
          <w:szCs w:val="24"/>
        </w:rPr>
        <w:t>. Es decir</w:t>
      </w:r>
      <w:r w:rsidR="00160555" w:rsidRPr="00C8252C">
        <w:rPr>
          <w:sz w:val="24"/>
          <w:szCs w:val="24"/>
        </w:rPr>
        <w:t>,</w:t>
      </w:r>
      <w:r w:rsidR="00D55A46" w:rsidRPr="00C8252C">
        <w:rPr>
          <w:sz w:val="24"/>
          <w:szCs w:val="24"/>
        </w:rPr>
        <w:t xml:space="preserve"> ciñéndonos al caso concreto, la adm</w:t>
      </w:r>
      <w:r w:rsidR="00240D42" w:rsidRPr="00C8252C">
        <w:rPr>
          <w:sz w:val="24"/>
          <w:szCs w:val="24"/>
        </w:rPr>
        <w:t>i</w:t>
      </w:r>
      <w:r w:rsidR="00DB178C" w:rsidRPr="00C8252C">
        <w:rPr>
          <w:sz w:val="24"/>
          <w:szCs w:val="24"/>
        </w:rPr>
        <w:t>nistración podrá</w:t>
      </w:r>
      <w:r w:rsidR="00D55A46" w:rsidRPr="00C8252C">
        <w:rPr>
          <w:sz w:val="24"/>
          <w:szCs w:val="24"/>
        </w:rPr>
        <w:t xml:space="preserve"> reclamar </w:t>
      </w:r>
      <w:r w:rsidR="00240D42" w:rsidRPr="00C8252C">
        <w:rPr>
          <w:sz w:val="24"/>
          <w:szCs w:val="24"/>
        </w:rPr>
        <w:t xml:space="preserve">algún tipo de tasa, sanción o carga </w:t>
      </w:r>
      <w:r w:rsidR="00A25C46" w:rsidRPr="00C8252C">
        <w:rPr>
          <w:sz w:val="24"/>
          <w:szCs w:val="24"/>
        </w:rPr>
        <w:t xml:space="preserve">sólo </w:t>
      </w:r>
      <w:r w:rsidR="00D55A46" w:rsidRPr="00C8252C">
        <w:rPr>
          <w:sz w:val="24"/>
          <w:szCs w:val="24"/>
        </w:rPr>
        <w:t>por aquellas modificaciones en la propiedad que se hubieran producido cuatro años anteriores</w:t>
      </w:r>
      <w:r w:rsidR="00DB178C" w:rsidRPr="00C8252C">
        <w:rPr>
          <w:sz w:val="24"/>
          <w:szCs w:val="24"/>
        </w:rPr>
        <w:t xml:space="preserve"> a la fecha de la reclamación, en ningún caso las producidas antes del  1.1.2013. fecha de la entrada en vigor de la modificación del TRLC.</w:t>
      </w:r>
    </w:p>
    <w:p w:rsidR="00A25C46" w:rsidRPr="00C8252C" w:rsidRDefault="00A25C46" w:rsidP="00564E1A">
      <w:pPr>
        <w:jc w:val="both"/>
        <w:rPr>
          <w:sz w:val="24"/>
          <w:szCs w:val="24"/>
        </w:rPr>
      </w:pPr>
      <w:r w:rsidRPr="00C8252C">
        <w:rPr>
          <w:sz w:val="24"/>
          <w:szCs w:val="24"/>
        </w:rPr>
        <w:lastRenderedPageBreak/>
        <w:t xml:space="preserve">4.-Si este proceso de regularización catastral se hubiera producido como resultado de la </w:t>
      </w:r>
      <w:r w:rsidR="0085447A" w:rsidRPr="00C8252C">
        <w:rPr>
          <w:sz w:val="24"/>
          <w:szCs w:val="24"/>
        </w:rPr>
        <w:t xml:space="preserve">toma </w:t>
      </w:r>
      <w:r w:rsidRPr="00C8252C">
        <w:rPr>
          <w:sz w:val="24"/>
          <w:szCs w:val="24"/>
        </w:rPr>
        <w:t xml:space="preserve"> de datos del propio Ayuntamiento ha de tenerse en cuenta las dos últimas sentencias dictadas por el Tribunal de Justicia de la UE concernientes al tema objeto de estas alegaciones en las que se establece que</w:t>
      </w:r>
      <w:r w:rsidRPr="00C8252C">
        <w:rPr>
          <w:rStyle w:val="nfasis"/>
          <w:sz w:val="24"/>
          <w:szCs w:val="24"/>
        </w:rPr>
        <w:t xml:space="preserve"> “una Administración pública de un Estado miembro que transmita datos personales a otra Administración pública, ha de informar a los interesados de esa transmisión y tratamiento de datos”</w:t>
      </w:r>
      <w:r w:rsidRPr="00C8252C">
        <w:rPr>
          <w:sz w:val="24"/>
          <w:szCs w:val="24"/>
        </w:rPr>
        <w:t xml:space="preserve">. De hecho, la sentencia recuerda a todos los países que han de aplicar el artículo 6 de la directiva 95/46. </w:t>
      </w:r>
    </w:p>
    <w:p w:rsidR="009E2FFC" w:rsidRPr="00C8252C" w:rsidRDefault="009E2FFC" w:rsidP="00564E1A">
      <w:pPr>
        <w:jc w:val="both"/>
        <w:rPr>
          <w:sz w:val="24"/>
          <w:szCs w:val="24"/>
        </w:rPr>
      </w:pPr>
      <w:r w:rsidRPr="00C8252C">
        <w:rPr>
          <w:sz w:val="24"/>
          <w:szCs w:val="24"/>
        </w:rPr>
        <w:t xml:space="preserve">En todo caso, el “die a quo”, que se debe de tomar de referencia para el comienzo de la prescripción extintiva, es la fecha del certificado final de obra/certificado de idoneidad, firmado, </w:t>
      </w:r>
      <w:r w:rsidR="00F32D68" w:rsidRPr="00C8252C">
        <w:rPr>
          <w:sz w:val="24"/>
          <w:szCs w:val="24"/>
        </w:rPr>
        <w:t>por técnico competente, y su posterior comunicación al Ayuntamiento que controla las obra</w:t>
      </w:r>
      <w:r w:rsidR="000B3BAE" w:rsidRPr="00C8252C">
        <w:rPr>
          <w:sz w:val="24"/>
          <w:szCs w:val="24"/>
        </w:rPr>
        <w:t>s</w:t>
      </w:r>
      <w:r w:rsidR="00F32D68" w:rsidRPr="00C8252C">
        <w:rPr>
          <w:sz w:val="24"/>
          <w:szCs w:val="24"/>
        </w:rPr>
        <w:t xml:space="preserve"> de ITE. Dicha fecha tomada por referencia, es suficientemente indicativa, para concluir que </w:t>
      </w:r>
      <w:r w:rsidR="00386162" w:rsidRPr="00C8252C">
        <w:rPr>
          <w:sz w:val="24"/>
          <w:szCs w:val="24"/>
        </w:rPr>
        <w:t xml:space="preserve">el inicio de </w:t>
      </w:r>
      <w:r w:rsidR="00F32D68" w:rsidRPr="00C8252C">
        <w:rPr>
          <w:sz w:val="24"/>
          <w:szCs w:val="24"/>
        </w:rPr>
        <w:t>la actuación</w:t>
      </w:r>
      <w:r w:rsidR="00386162" w:rsidRPr="00C8252C">
        <w:rPr>
          <w:sz w:val="24"/>
          <w:szCs w:val="24"/>
        </w:rPr>
        <w:t xml:space="preserve"> de la administración</w:t>
      </w:r>
      <w:r w:rsidR="00F32D68" w:rsidRPr="00C8252C">
        <w:rPr>
          <w:sz w:val="24"/>
          <w:szCs w:val="24"/>
        </w:rPr>
        <w:t xml:space="preserve">, </w:t>
      </w:r>
      <w:r w:rsidR="00386162" w:rsidRPr="00C8252C">
        <w:rPr>
          <w:sz w:val="24"/>
          <w:szCs w:val="24"/>
        </w:rPr>
        <w:t>había prescrito con anterioridad, por lo que no procede en ningún caso el pago de la tasa</w:t>
      </w:r>
      <w:r w:rsidR="00F32D68" w:rsidRPr="00C8252C">
        <w:rPr>
          <w:sz w:val="24"/>
          <w:szCs w:val="24"/>
        </w:rPr>
        <w:t xml:space="preserve">  </w:t>
      </w:r>
      <w:r w:rsidR="00386162" w:rsidRPr="00C8252C">
        <w:rPr>
          <w:sz w:val="24"/>
          <w:szCs w:val="24"/>
        </w:rPr>
        <w:t>de regularización catastral.</w:t>
      </w:r>
      <w:r w:rsidRPr="00C8252C">
        <w:rPr>
          <w:sz w:val="24"/>
          <w:szCs w:val="24"/>
        </w:rPr>
        <w:t xml:space="preserve"> </w:t>
      </w:r>
    </w:p>
    <w:p w:rsidR="00160A8E" w:rsidRPr="00C8252C" w:rsidRDefault="00053020" w:rsidP="00564E1A">
      <w:pPr>
        <w:jc w:val="both"/>
        <w:rPr>
          <w:sz w:val="24"/>
          <w:szCs w:val="24"/>
        </w:rPr>
      </w:pPr>
      <w:r w:rsidRPr="00C8252C">
        <w:rPr>
          <w:sz w:val="24"/>
          <w:szCs w:val="24"/>
        </w:rPr>
        <w:t>4</w:t>
      </w:r>
      <w:r w:rsidR="00160A8E" w:rsidRPr="00C8252C">
        <w:rPr>
          <w:sz w:val="24"/>
          <w:szCs w:val="24"/>
        </w:rPr>
        <w:t>.-En base a los principios antes señalados, debemos entender que cualquier modificación en la propiedad que se haya producido antes del 1 de Enero de 2013 no debe ser tenida en cuenta en relación a la tasa de 60€</w:t>
      </w:r>
      <w:r w:rsidR="00240D42" w:rsidRPr="00C8252C">
        <w:rPr>
          <w:sz w:val="24"/>
          <w:szCs w:val="24"/>
        </w:rPr>
        <w:t xml:space="preserve">, </w:t>
      </w:r>
      <w:r w:rsidR="00240D42" w:rsidRPr="00C8252C">
        <w:rPr>
          <w:b/>
          <w:sz w:val="24"/>
          <w:szCs w:val="24"/>
        </w:rPr>
        <w:t xml:space="preserve">dado que </w:t>
      </w:r>
      <w:r w:rsidR="00160A8E" w:rsidRPr="00C8252C">
        <w:rPr>
          <w:b/>
          <w:sz w:val="24"/>
          <w:szCs w:val="24"/>
        </w:rPr>
        <w:t xml:space="preserve"> dicha tasa no tiene cobertura legal antes de esa fecha</w:t>
      </w:r>
      <w:r w:rsidR="00684E0E" w:rsidRPr="00C8252C">
        <w:rPr>
          <w:b/>
          <w:sz w:val="24"/>
          <w:szCs w:val="24"/>
        </w:rPr>
        <w:t>.</w:t>
      </w:r>
      <w:r w:rsidR="00684E0E" w:rsidRPr="00C8252C">
        <w:rPr>
          <w:sz w:val="24"/>
          <w:szCs w:val="24"/>
        </w:rPr>
        <w:t xml:space="preserve"> Todo ello sin perjuicio de las obligaciones que señala el art. 13.2 de la ley 1/2004. Tampoco es</w:t>
      </w:r>
      <w:r w:rsidR="00160A8E" w:rsidRPr="00C8252C">
        <w:rPr>
          <w:sz w:val="24"/>
          <w:szCs w:val="24"/>
        </w:rPr>
        <w:t xml:space="preserve"> posible en atención a la </w:t>
      </w:r>
      <w:r w:rsidR="00160A8E" w:rsidRPr="00C8252C">
        <w:rPr>
          <w:b/>
          <w:sz w:val="24"/>
          <w:szCs w:val="24"/>
        </w:rPr>
        <w:t xml:space="preserve">prohibición de nuestra Constitución y de </w:t>
      </w:r>
      <w:r w:rsidR="00A25C46" w:rsidRPr="00C8252C">
        <w:rPr>
          <w:b/>
          <w:sz w:val="24"/>
          <w:szCs w:val="24"/>
        </w:rPr>
        <w:t xml:space="preserve">nuestro ordenamiento jurídico </w:t>
      </w:r>
      <w:r w:rsidR="00160A8E" w:rsidRPr="00C8252C">
        <w:rPr>
          <w:b/>
          <w:sz w:val="24"/>
          <w:szCs w:val="24"/>
        </w:rPr>
        <w:t xml:space="preserve"> dictar normas no favorables con carácter retroactivo</w:t>
      </w:r>
      <w:r w:rsidR="00160A8E" w:rsidRPr="00C8252C">
        <w:rPr>
          <w:sz w:val="24"/>
          <w:szCs w:val="24"/>
        </w:rPr>
        <w:t>.</w:t>
      </w:r>
      <w:r w:rsidR="00684E0E" w:rsidRPr="00C8252C">
        <w:rPr>
          <w:sz w:val="24"/>
          <w:szCs w:val="24"/>
        </w:rPr>
        <w:t xml:space="preserve"> Téngase en cuenta igualmente el </w:t>
      </w:r>
      <w:r w:rsidR="00684E0E" w:rsidRPr="00C8252C">
        <w:rPr>
          <w:b/>
          <w:sz w:val="24"/>
          <w:szCs w:val="24"/>
        </w:rPr>
        <w:t>plazo de prescripc</w:t>
      </w:r>
      <w:r w:rsidR="009C42F3" w:rsidRPr="00C8252C">
        <w:rPr>
          <w:b/>
          <w:sz w:val="24"/>
          <w:szCs w:val="24"/>
        </w:rPr>
        <w:t>ión de las obligaciones con la H</w:t>
      </w:r>
      <w:r w:rsidR="00684E0E" w:rsidRPr="00C8252C">
        <w:rPr>
          <w:b/>
          <w:sz w:val="24"/>
          <w:szCs w:val="24"/>
        </w:rPr>
        <w:t xml:space="preserve">acienda </w:t>
      </w:r>
      <w:r w:rsidR="009C42F3" w:rsidRPr="00C8252C">
        <w:rPr>
          <w:b/>
          <w:sz w:val="24"/>
          <w:szCs w:val="24"/>
        </w:rPr>
        <w:t>P</w:t>
      </w:r>
      <w:r w:rsidR="00B31FB3" w:rsidRPr="00C8252C">
        <w:rPr>
          <w:b/>
          <w:sz w:val="24"/>
          <w:szCs w:val="24"/>
        </w:rPr>
        <w:t>ública</w:t>
      </w:r>
      <w:r w:rsidR="00684E0E" w:rsidRPr="00C8252C">
        <w:rPr>
          <w:sz w:val="24"/>
          <w:szCs w:val="24"/>
        </w:rPr>
        <w:t xml:space="preserve"> que se señala en el apartado 2 de este escrito.</w:t>
      </w:r>
    </w:p>
    <w:p w:rsidR="00160A8E" w:rsidRPr="00C8252C" w:rsidRDefault="00053020" w:rsidP="00564E1A">
      <w:pPr>
        <w:jc w:val="both"/>
        <w:rPr>
          <w:sz w:val="24"/>
          <w:szCs w:val="24"/>
        </w:rPr>
      </w:pPr>
      <w:r w:rsidRPr="00C8252C">
        <w:rPr>
          <w:sz w:val="24"/>
          <w:szCs w:val="24"/>
        </w:rPr>
        <w:t>5</w:t>
      </w:r>
      <w:r w:rsidR="00F122E2" w:rsidRPr="00C8252C">
        <w:rPr>
          <w:sz w:val="24"/>
          <w:szCs w:val="24"/>
        </w:rPr>
        <w:t>.-</w:t>
      </w:r>
      <w:r w:rsidR="001F481D" w:rsidRPr="00C8252C">
        <w:rPr>
          <w:sz w:val="24"/>
          <w:szCs w:val="24"/>
        </w:rPr>
        <w:t>D</w:t>
      </w:r>
      <w:r w:rsidR="00B91870" w:rsidRPr="00C8252C">
        <w:rPr>
          <w:sz w:val="24"/>
          <w:szCs w:val="24"/>
        </w:rPr>
        <w:t>e</w:t>
      </w:r>
      <w:r w:rsidR="001F481D" w:rsidRPr="00C8252C">
        <w:rPr>
          <w:sz w:val="24"/>
          <w:szCs w:val="24"/>
        </w:rPr>
        <w:t xml:space="preserve"> la instrucción </w:t>
      </w:r>
      <w:r w:rsidR="00F122E2" w:rsidRPr="00C8252C">
        <w:rPr>
          <w:sz w:val="24"/>
          <w:szCs w:val="24"/>
        </w:rPr>
        <w:t>del expediente</w:t>
      </w:r>
      <w:r w:rsidR="001F481D" w:rsidRPr="00C8252C">
        <w:rPr>
          <w:sz w:val="24"/>
          <w:szCs w:val="24"/>
        </w:rPr>
        <w:t xml:space="preserve"> administrativo,</w:t>
      </w:r>
      <w:r w:rsidR="00F122E2" w:rsidRPr="00C8252C">
        <w:rPr>
          <w:sz w:val="24"/>
          <w:szCs w:val="24"/>
        </w:rPr>
        <w:t xml:space="preserve"> únicamente se </w:t>
      </w:r>
      <w:r w:rsidR="001F481D" w:rsidRPr="00C8252C">
        <w:rPr>
          <w:sz w:val="24"/>
          <w:szCs w:val="24"/>
        </w:rPr>
        <w:t xml:space="preserve">comprueba la existencia </w:t>
      </w:r>
      <w:r w:rsidR="00B91870" w:rsidRPr="00C8252C">
        <w:rPr>
          <w:sz w:val="24"/>
          <w:szCs w:val="24"/>
        </w:rPr>
        <w:t>de una</w:t>
      </w:r>
      <w:r w:rsidR="001F481D" w:rsidRPr="00C8252C">
        <w:rPr>
          <w:sz w:val="24"/>
          <w:szCs w:val="24"/>
        </w:rPr>
        <w:t xml:space="preserve"> foto del edificio, </w:t>
      </w:r>
      <w:r w:rsidR="00F122E2" w:rsidRPr="00C8252C">
        <w:rPr>
          <w:sz w:val="24"/>
          <w:szCs w:val="24"/>
        </w:rPr>
        <w:t xml:space="preserve">sin que se acredite que haya habido modificación alguna desde la fecha de entrada en vigor de esta norma. </w:t>
      </w:r>
      <w:r w:rsidR="00B91870" w:rsidRPr="00C8252C">
        <w:rPr>
          <w:sz w:val="24"/>
          <w:szCs w:val="24"/>
        </w:rPr>
        <w:t xml:space="preserve">A mayor abundamiento, </w:t>
      </w:r>
      <w:r w:rsidR="00B91870" w:rsidRPr="00C8252C">
        <w:rPr>
          <w:b/>
          <w:sz w:val="24"/>
          <w:szCs w:val="24"/>
        </w:rPr>
        <w:t>no</w:t>
      </w:r>
      <w:r w:rsidR="00F122E2" w:rsidRPr="00C8252C">
        <w:rPr>
          <w:b/>
          <w:sz w:val="24"/>
          <w:szCs w:val="24"/>
        </w:rPr>
        <w:t xml:space="preserve"> ha habido modificación alguna </w:t>
      </w:r>
      <w:r w:rsidR="00160555" w:rsidRPr="00C8252C">
        <w:rPr>
          <w:b/>
          <w:sz w:val="24"/>
          <w:szCs w:val="24"/>
        </w:rPr>
        <w:t xml:space="preserve">en la propiedad objeto del expediente </w:t>
      </w:r>
      <w:r w:rsidR="00E93131" w:rsidRPr="00C8252C">
        <w:rPr>
          <w:b/>
          <w:sz w:val="24"/>
          <w:szCs w:val="24"/>
        </w:rPr>
        <w:t>desde la</w:t>
      </w:r>
      <w:r w:rsidR="00F122E2" w:rsidRPr="00C8252C">
        <w:rPr>
          <w:b/>
          <w:sz w:val="24"/>
          <w:szCs w:val="24"/>
        </w:rPr>
        <w:t xml:space="preserve"> construcción </w:t>
      </w:r>
      <w:r w:rsidR="00160555" w:rsidRPr="00C8252C">
        <w:rPr>
          <w:b/>
          <w:sz w:val="24"/>
          <w:szCs w:val="24"/>
        </w:rPr>
        <w:t xml:space="preserve">inicial </w:t>
      </w:r>
      <w:r w:rsidR="00F122E2" w:rsidRPr="00C8252C">
        <w:rPr>
          <w:b/>
          <w:sz w:val="24"/>
          <w:szCs w:val="24"/>
        </w:rPr>
        <w:t>de la misma</w:t>
      </w:r>
      <w:r w:rsidR="0085447A" w:rsidRPr="00C8252C">
        <w:rPr>
          <w:b/>
          <w:sz w:val="24"/>
          <w:szCs w:val="24"/>
        </w:rPr>
        <w:t xml:space="preserve"> que no haya sido</w:t>
      </w:r>
      <w:r w:rsidR="002E2CBD" w:rsidRPr="00C8252C">
        <w:rPr>
          <w:b/>
          <w:sz w:val="24"/>
          <w:szCs w:val="24"/>
        </w:rPr>
        <w:t xml:space="preserve"> de mera conservación a la que hace referencia el art. 16.2 </w:t>
      </w:r>
      <w:r w:rsidR="002E2CBD" w:rsidRPr="00C8252C">
        <w:rPr>
          <w:sz w:val="24"/>
          <w:szCs w:val="24"/>
        </w:rPr>
        <w:t>del TRLC 1/2004 y</w:t>
      </w:r>
      <w:r w:rsidR="009C42F3" w:rsidRPr="00C8252C">
        <w:rPr>
          <w:sz w:val="24"/>
          <w:szCs w:val="24"/>
        </w:rPr>
        <w:t>,</w:t>
      </w:r>
      <w:r w:rsidR="002E2CBD" w:rsidRPr="00C8252C">
        <w:rPr>
          <w:sz w:val="24"/>
          <w:szCs w:val="24"/>
        </w:rPr>
        <w:t xml:space="preserve"> por</w:t>
      </w:r>
      <w:r w:rsidR="009C42F3" w:rsidRPr="00C8252C">
        <w:rPr>
          <w:sz w:val="24"/>
          <w:szCs w:val="24"/>
        </w:rPr>
        <w:t xml:space="preserve"> lo, tanto no susceptible</w:t>
      </w:r>
      <w:r w:rsidR="002E2CBD" w:rsidRPr="00C8252C">
        <w:rPr>
          <w:sz w:val="24"/>
          <w:szCs w:val="24"/>
        </w:rPr>
        <w:t xml:space="preserve"> de comunicación.</w:t>
      </w:r>
    </w:p>
    <w:p w:rsidR="00B91870" w:rsidRPr="00C8252C" w:rsidRDefault="00B91870" w:rsidP="00564E1A">
      <w:pPr>
        <w:jc w:val="both"/>
        <w:rPr>
          <w:sz w:val="24"/>
          <w:szCs w:val="24"/>
        </w:rPr>
      </w:pPr>
      <w:r w:rsidRPr="00C8252C">
        <w:rPr>
          <w:sz w:val="24"/>
          <w:szCs w:val="24"/>
        </w:rPr>
        <w:t xml:space="preserve">La única obra que se ha realizado en el inmueble, de claro mantenimiento y conservación del mismo, es consecuencia de la periódica </w:t>
      </w:r>
      <w:r w:rsidR="009C42F3" w:rsidRPr="00C8252C">
        <w:rPr>
          <w:sz w:val="24"/>
          <w:szCs w:val="24"/>
        </w:rPr>
        <w:t>Inspección Técnica de Edificios</w:t>
      </w:r>
      <w:r w:rsidRPr="00C8252C">
        <w:rPr>
          <w:sz w:val="24"/>
          <w:szCs w:val="24"/>
        </w:rPr>
        <w:t xml:space="preserve"> y que</w:t>
      </w:r>
      <w:r w:rsidR="009C42F3" w:rsidRPr="00C8252C">
        <w:rPr>
          <w:sz w:val="24"/>
          <w:szCs w:val="24"/>
        </w:rPr>
        <w:t>,</w:t>
      </w:r>
      <w:r w:rsidRPr="00C8252C">
        <w:rPr>
          <w:sz w:val="24"/>
          <w:szCs w:val="24"/>
        </w:rPr>
        <w:t xml:space="preserve"> como figura literalmente en el Acta  de la ITE,  “Una vez inspeccionado el edificio y construcciones consignadas, el técnico firmante dictamina que sus condiciones de SEGURIDAD, SALUBRIDAD, ACCESIBILIDAD, ORNATO PUBLICO Y DECORO descritas en el art. 7 de la Ordenanza sobre Conservación, Rehabilitación y Estado Ruinoso de las Edificaciones son ………………”.</w:t>
      </w:r>
    </w:p>
    <w:p w:rsidR="00E93131" w:rsidRPr="00C8252C" w:rsidRDefault="00B91870" w:rsidP="00564E1A">
      <w:pPr>
        <w:jc w:val="both"/>
        <w:rPr>
          <w:sz w:val="24"/>
          <w:szCs w:val="24"/>
        </w:rPr>
      </w:pPr>
      <w:r w:rsidRPr="00C8252C">
        <w:rPr>
          <w:sz w:val="24"/>
          <w:szCs w:val="24"/>
        </w:rPr>
        <w:lastRenderedPageBreak/>
        <w:t>El art. 7 de la Ordenanza de Conservación, Rehabilitación y Estado</w:t>
      </w:r>
      <w:r w:rsidR="007F690A" w:rsidRPr="00C8252C">
        <w:rPr>
          <w:sz w:val="24"/>
          <w:szCs w:val="24"/>
        </w:rPr>
        <w:t xml:space="preserve"> Ruinoso de las E</w:t>
      </w:r>
      <w:r w:rsidRPr="00C8252C">
        <w:rPr>
          <w:sz w:val="24"/>
          <w:szCs w:val="24"/>
        </w:rPr>
        <w:t>dificaciones</w:t>
      </w:r>
      <w:r w:rsidR="00970ECF" w:rsidRPr="00C8252C">
        <w:rPr>
          <w:sz w:val="24"/>
          <w:szCs w:val="24"/>
        </w:rPr>
        <w:t>,</w:t>
      </w:r>
      <w:r w:rsidRPr="00C8252C">
        <w:rPr>
          <w:sz w:val="24"/>
          <w:szCs w:val="24"/>
        </w:rPr>
        <w:t xml:space="preserve"> </w:t>
      </w:r>
      <w:r w:rsidR="00970ECF" w:rsidRPr="00C8252C">
        <w:rPr>
          <w:sz w:val="24"/>
          <w:szCs w:val="24"/>
        </w:rPr>
        <w:t>p</w:t>
      </w:r>
      <w:r w:rsidR="00E93131" w:rsidRPr="00C8252C">
        <w:rPr>
          <w:sz w:val="24"/>
          <w:szCs w:val="24"/>
        </w:rPr>
        <w:t>ublicada en el BO</w:t>
      </w:r>
      <w:r w:rsidR="00970ECF" w:rsidRPr="00C8252C">
        <w:rPr>
          <w:sz w:val="24"/>
          <w:szCs w:val="24"/>
        </w:rPr>
        <w:t>A</w:t>
      </w:r>
      <w:r w:rsidR="00E93131" w:rsidRPr="00C8252C">
        <w:rPr>
          <w:sz w:val="24"/>
          <w:szCs w:val="24"/>
        </w:rPr>
        <w:t xml:space="preserve">M de </w:t>
      </w:r>
      <w:r w:rsidR="00970ECF" w:rsidRPr="00C8252C">
        <w:rPr>
          <w:sz w:val="24"/>
          <w:szCs w:val="24"/>
        </w:rPr>
        <w:t>27</w:t>
      </w:r>
      <w:r w:rsidR="00E93131" w:rsidRPr="00C8252C">
        <w:rPr>
          <w:sz w:val="24"/>
          <w:szCs w:val="24"/>
        </w:rPr>
        <w:t xml:space="preserve"> de </w:t>
      </w:r>
      <w:r w:rsidR="007F690A" w:rsidRPr="00C8252C">
        <w:rPr>
          <w:sz w:val="24"/>
          <w:szCs w:val="24"/>
        </w:rPr>
        <w:t>diciembre</w:t>
      </w:r>
      <w:r w:rsidR="00E93131" w:rsidRPr="00C8252C">
        <w:rPr>
          <w:sz w:val="24"/>
          <w:szCs w:val="24"/>
        </w:rPr>
        <w:t xml:space="preserve"> de </w:t>
      </w:r>
      <w:r w:rsidR="00970ECF" w:rsidRPr="00C8252C">
        <w:rPr>
          <w:sz w:val="24"/>
          <w:szCs w:val="24"/>
        </w:rPr>
        <w:t>2011</w:t>
      </w:r>
      <w:r w:rsidR="00E93131" w:rsidRPr="00C8252C">
        <w:rPr>
          <w:sz w:val="24"/>
          <w:szCs w:val="24"/>
        </w:rPr>
        <w:t xml:space="preserve"> </w:t>
      </w:r>
      <w:r w:rsidRPr="00C8252C">
        <w:rPr>
          <w:sz w:val="24"/>
          <w:szCs w:val="24"/>
        </w:rPr>
        <w:t xml:space="preserve">referida anteriormente, se remite a actuaciones de Conservación, que tienen como objeto mantener los edificios y construcciones en las condiciones </w:t>
      </w:r>
      <w:r w:rsidR="00E93131" w:rsidRPr="00C8252C">
        <w:rPr>
          <w:sz w:val="24"/>
          <w:szCs w:val="24"/>
        </w:rPr>
        <w:t>mínimas</w:t>
      </w:r>
      <w:r w:rsidR="00970ECF" w:rsidRPr="00C8252C">
        <w:rPr>
          <w:sz w:val="24"/>
          <w:szCs w:val="24"/>
        </w:rPr>
        <w:t xml:space="preserve"> seguridad, salubridad, accesibilidad, ornato público y decoro</w:t>
      </w:r>
      <w:r w:rsidR="00E93131" w:rsidRPr="00C8252C">
        <w:rPr>
          <w:sz w:val="24"/>
          <w:szCs w:val="24"/>
        </w:rPr>
        <w:t>, disposición que puesta en relación con el art. 16. 2.a del TRCL 1/2004, el cual establece que no serán objeto de declaración o comunicación, las obras o reparaciones que tengan por objeto la mera conservación y mantenimiento de los edificios, y las que afecten tan solo a característica ornamentales o decorativas.</w:t>
      </w:r>
    </w:p>
    <w:p w:rsidR="007F690A" w:rsidRPr="00C8252C" w:rsidRDefault="00455B36" w:rsidP="00564E1A">
      <w:pPr>
        <w:jc w:val="both"/>
        <w:rPr>
          <w:sz w:val="24"/>
          <w:szCs w:val="24"/>
        </w:rPr>
      </w:pPr>
      <w:r w:rsidRPr="00C8252C">
        <w:rPr>
          <w:sz w:val="24"/>
          <w:szCs w:val="24"/>
        </w:rPr>
        <w:t>En la definición de las obras de conservación, relacionadas en el artículo 7 de la mencionada Ordenanza, se puede observar que todas ellas persiguen la seguridad del inmueble, mediante la realización de obras y trabajos necesarios de afianzamiento, refuerzo o sustitución de elementos dañados de la estructura, cimentación, soportes, vigas, forjados, muros de carga u otros elementos estructurales que comprometan directamente la resistencia mecánica y la estabilidad del edifici</w:t>
      </w:r>
      <w:r w:rsidR="00ED7A3B" w:rsidRPr="00C8252C">
        <w:rPr>
          <w:sz w:val="24"/>
          <w:szCs w:val="24"/>
        </w:rPr>
        <w:t xml:space="preserve">o; </w:t>
      </w:r>
      <w:r w:rsidRPr="00C8252C">
        <w:rPr>
          <w:sz w:val="24"/>
          <w:szCs w:val="24"/>
        </w:rPr>
        <w:t>repara</w:t>
      </w:r>
      <w:r w:rsidR="00ED7A3B" w:rsidRPr="00C8252C">
        <w:rPr>
          <w:sz w:val="24"/>
          <w:szCs w:val="24"/>
        </w:rPr>
        <w:t>ción de</w:t>
      </w:r>
      <w:r w:rsidRPr="00C8252C">
        <w:rPr>
          <w:sz w:val="24"/>
          <w:szCs w:val="24"/>
        </w:rPr>
        <w:t xml:space="preserve"> las fachadas; obras para evitar no se produzcan filtraciones de agua a través de la fachada, cubierta o del terreno y se deberá mantener en buen estado de funcionamiento las redes generales de fontanería y saneamiento; limpieza, pintura, reparación o reposición de sus materiales de revestimiento. </w:t>
      </w:r>
    </w:p>
    <w:p w:rsidR="007F690A" w:rsidRPr="00C8252C" w:rsidRDefault="00455B36" w:rsidP="00564E1A">
      <w:pPr>
        <w:jc w:val="both"/>
        <w:rPr>
          <w:sz w:val="24"/>
          <w:szCs w:val="24"/>
        </w:rPr>
      </w:pPr>
      <w:r w:rsidRPr="00C8252C">
        <w:rPr>
          <w:sz w:val="24"/>
          <w:szCs w:val="24"/>
        </w:rPr>
        <w:t>Como se puede comprobar, las obras desc</w:t>
      </w:r>
      <w:r w:rsidR="00236804" w:rsidRPr="00C8252C">
        <w:rPr>
          <w:sz w:val="24"/>
          <w:szCs w:val="24"/>
        </w:rPr>
        <w:t>r</w:t>
      </w:r>
      <w:r w:rsidRPr="00C8252C">
        <w:rPr>
          <w:sz w:val="24"/>
          <w:szCs w:val="24"/>
        </w:rPr>
        <w:t>itas en el mencionado art</w:t>
      </w:r>
      <w:r w:rsidR="00236804" w:rsidRPr="00C8252C">
        <w:rPr>
          <w:sz w:val="24"/>
          <w:szCs w:val="24"/>
        </w:rPr>
        <w:t>í</w:t>
      </w:r>
      <w:r w:rsidRPr="00C8252C">
        <w:rPr>
          <w:sz w:val="24"/>
          <w:szCs w:val="24"/>
        </w:rPr>
        <w:t xml:space="preserve">culo, no suponen la realización de reformas, modificaciones o </w:t>
      </w:r>
      <w:r w:rsidR="00236804" w:rsidRPr="00C8252C">
        <w:rPr>
          <w:sz w:val="24"/>
          <w:szCs w:val="24"/>
        </w:rPr>
        <w:t>alteraciones del inmueble, que puedan suponer una actuación comunicable de acuerdo con el artículo 16.2 del TRCL 1/2004.</w:t>
      </w:r>
      <w:r w:rsidR="00125828" w:rsidRPr="00C8252C">
        <w:rPr>
          <w:sz w:val="24"/>
          <w:szCs w:val="24"/>
        </w:rPr>
        <w:t xml:space="preserve"> </w:t>
      </w:r>
    </w:p>
    <w:p w:rsidR="00455B36" w:rsidRPr="00C8252C" w:rsidRDefault="00236804" w:rsidP="00564E1A">
      <w:pPr>
        <w:jc w:val="both"/>
        <w:rPr>
          <w:sz w:val="24"/>
          <w:szCs w:val="24"/>
        </w:rPr>
      </w:pPr>
      <w:r w:rsidRPr="00C8252C">
        <w:rPr>
          <w:sz w:val="24"/>
          <w:szCs w:val="24"/>
        </w:rPr>
        <w:t xml:space="preserve">Cualquier obra nacida de un acta de ITE desfavorable, </w:t>
      </w:r>
      <w:r w:rsidR="00ED7A3B" w:rsidRPr="00C8252C">
        <w:rPr>
          <w:sz w:val="24"/>
          <w:szCs w:val="24"/>
        </w:rPr>
        <w:t xml:space="preserve">únicamente podrá recoger las obras definidas en el artículo 7 de la Ordenanza. </w:t>
      </w:r>
    </w:p>
    <w:p w:rsidR="00B91870" w:rsidRPr="00C8252C" w:rsidRDefault="00E93131" w:rsidP="00564E1A">
      <w:pPr>
        <w:jc w:val="both"/>
        <w:rPr>
          <w:sz w:val="24"/>
          <w:szCs w:val="24"/>
        </w:rPr>
      </w:pPr>
      <w:r w:rsidRPr="00C8252C">
        <w:rPr>
          <w:sz w:val="24"/>
          <w:szCs w:val="24"/>
        </w:rPr>
        <w:t xml:space="preserve">Por lo que, en consecuencia, no </w:t>
      </w:r>
      <w:r w:rsidR="00503004" w:rsidRPr="00C8252C">
        <w:rPr>
          <w:sz w:val="24"/>
          <w:szCs w:val="24"/>
        </w:rPr>
        <w:t>ha lugar</w:t>
      </w:r>
      <w:r w:rsidRPr="00C8252C">
        <w:rPr>
          <w:sz w:val="24"/>
          <w:szCs w:val="24"/>
        </w:rPr>
        <w:t xml:space="preserve"> a ninguna “regularización catastral”, por cuanto las obras que se han ejecutado en el inmueble son única y exclusivamente las</w:t>
      </w:r>
      <w:r w:rsidR="00503004" w:rsidRPr="00C8252C">
        <w:rPr>
          <w:sz w:val="24"/>
          <w:szCs w:val="24"/>
        </w:rPr>
        <w:t xml:space="preserve"> derivadas</w:t>
      </w:r>
      <w:r w:rsidRPr="00C8252C">
        <w:rPr>
          <w:sz w:val="24"/>
          <w:szCs w:val="24"/>
        </w:rPr>
        <w:t xml:space="preserve"> de la ITE, </w:t>
      </w:r>
      <w:r w:rsidR="00503004" w:rsidRPr="00C8252C">
        <w:rPr>
          <w:sz w:val="24"/>
          <w:szCs w:val="24"/>
        </w:rPr>
        <w:t>y en consecuencia</w:t>
      </w:r>
      <w:r w:rsidR="006A107B" w:rsidRPr="00C8252C">
        <w:rPr>
          <w:sz w:val="24"/>
          <w:szCs w:val="24"/>
        </w:rPr>
        <w:t>,</w:t>
      </w:r>
      <w:r w:rsidR="00503004" w:rsidRPr="00C8252C">
        <w:rPr>
          <w:sz w:val="24"/>
          <w:szCs w:val="24"/>
        </w:rPr>
        <w:t xml:space="preserve"> de mera conservación y mantenimiento del edificio, </w:t>
      </w:r>
      <w:r w:rsidRPr="00C8252C">
        <w:rPr>
          <w:sz w:val="24"/>
          <w:szCs w:val="24"/>
        </w:rPr>
        <w:t xml:space="preserve">conforme acredito con el Acta de la ITE y </w:t>
      </w:r>
      <w:r w:rsidR="00D74140" w:rsidRPr="00C8252C">
        <w:rPr>
          <w:sz w:val="24"/>
          <w:szCs w:val="24"/>
        </w:rPr>
        <w:t>certificación expedida</w:t>
      </w:r>
      <w:r w:rsidR="00503004" w:rsidRPr="00C8252C">
        <w:rPr>
          <w:sz w:val="24"/>
          <w:szCs w:val="24"/>
        </w:rPr>
        <w:t xml:space="preserve"> por </w:t>
      </w:r>
      <w:r w:rsidR="00D74140" w:rsidRPr="00C8252C">
        <w:rPr>
          <w:sz w:val="24"/>
          <w:szCs w:val="24"/>
        </w:rPr>
        <w:t xml:space="preserve">el Arquitecto (Superior o </w:t>
      </w:r>
      <w:r w:rsidR="00503004" w:rsidRPr="00C8252C">
        <w:rPr>
          <w:sz w:val="24"/>
          <w:szCs w:val="24"/>
        </w:rPr>
        <w:t>Técnico</w:t>
      </w:r>
      <w:r w:rsidR="00D74140" w:rsidRPr="00C8252C">
        <w:rPr>
          <w:sz w:val="24"/>
          <w:szCs w:val="24"/>
        </w:rPr>
        <w:t>), D.--------------------</w:t>
      </w:r>
      <w:r w:rsidRPr="00C8252C">
        <w:rPr>
          <w:sz w:val="24"/>
          <w:szCs w:val="24"/>
        </w:rPr>
        <w:t xml:space="preserve"> que se acompañan como DOCS. NUMS. DOS </w:t>
      </w:r>
      <w:r w:rsidR="00503004" w:rsidRPr="00C8252C">
        <w:rPr>
          <w:sz w:val="24"/>
          <w:szCs w:val="24"/>
        </w:rPr>
        <w:t>Y TRES</w:t>
      </w:r>
      <w:r w:rsidRPr="00C8252C">
        <w:rPr>
          <w:sz w:val="24"/>
          <w:szCs w:val="24"/>
        </w:rPr>
        <w:t xml:space="preserve">.  </w:t>
      </w:r>
    </w:p>
    <w:p w:rsidR="00B91870" w:rsidRPr="00C8252C" w:rsidRDefault="00ED7A3B" w:rsidP="00564E1A">
      <w:pPr>
        <w:jc w:val="both"/>
        <w:rPr>
          <w:sz w:val="24"/>
          <w:szCs w:val="24"/>
        </w:rPr>
      </w:pPr>
      <w:r w:rsidRPr="00C8252C">
        <w:rPr>
          <w:sz w:val="24"/>
          <w:szCs w:val="24"/>
        </w:rPr>
        <w:t>Las obras generadas por una ITE desfavorable, tras la terminación de las mismas de acuerdo con la Orden de Ejecución dictada por el Ayuntamiento de Madrid, fue notificada la conclusión de las mismas al mencionado Ayuntamiento, con la presentación del Certificado final de obra/Certificado de Idoneidad de los Trabajos, firmado por técnico competente.</w:t>
      </w:r>
    </w:p>
    <w:p w:rsidR="002E2CBD" w:rsidRPr="00C8252C" w:rsidRDefault="00503004" w:rsidP="00564E1A">
      <w:pPr>
        <w:jc w:val="both"/>
        <w:rPr>
          <w:sz w:val="24"/>
          <w:szCs w:val="24"/>
        </w:rPr>
      </w:pPr>
      <w:r w:rsidRPr="00C8252C">
        <w:rPr>
          <w:sz w:val="24"/>
          <w:szCs w:val="24"/>
        </w:rPr>
        <w:t>6</w:t>
      </w:r>
      <w:r w:rsidR="00684E0E" w:rsidRPr="00C8252C">
        <w:rPr>
          <w:sz w:val="24"/>
          <w:szCs w:val="24"/>
        </w:rPr>
        <w:t>.-Ha de manifestarse también que si, como resultado de esta revisión catastral, “regulariz</w:t>
      </w:r>
      <w:r w:rsidR="002E34D8" w:rsidRPr="00C8252C">
        <w:rPr>
          <w:sz w:val="24"/>
          <w:szCs w:val="24"/>
        </w:rPr>
        <w:t>ación catastral” como llama la L</w:t>
      </w:r>
      <w:r w:rsidR="00684E0E" w:rsidRPr="00C8252C">
        <w:rPr>
          <w:sz w:val="24"/>
          <w:szCs w:val="24"/>
        </w:rPr>
        <w:t>ey, se incrementa el valor de la construcción y del terreno</w:t>
      </w:r>
      <w:r w:rsidR="00755451" w:rsidRPr="00C8252C">
        <w:rPr>
          <w:sz w:val="24"/>
          <w:szCs w:val="24"/>
        </w:rPr>
        <w:t>,</w:t>
      </w:r>
      <w:r w:rsidR="00684E0E" w:rsidRPr="00C8252C">
        <w:rPr>
          <w:sz w:val="24"/>
          <w:szCs w:val="24"/>
        </w:rPr>
        <w:t xml:space="preserve"> se hace de forma improcedente ya que si como señala el TSLC</w:t>
      </w:r>
      <w:r w:rsidR="00053020" w:rsidRPr="00C8252C">
        <w:rPr>
          <w:sz w:val="24"/>
          <w:szCs w:val="24"/>
        </w:rPr>
        <w:t xml:space="preserve">  1/2004, </w:t>
      </w:r>
      <w:r w:rsidR="00053020" w:rsidRPr="00C8252C">
        <w:rPr>
          <w:sz w:val="24"/>
          <w:szCs w:val="24"/>
        </w:rPr>
        <w:lastRenderedPageBreak/>
        <w:t>disposición adicional tercera,  se hace con el objeto de “garantizar la adecuada concordancia de la descripción catastral de los bienes inmuebles con la realidad inmobiliaria”, lo que en realidad se ha pro</w:t>
      </w:r>
      <w:r w:rsidR="007A4214" w:rsidRPr="00C8252C">
        <w:rPr>
          <w:sz w:val="24"/>
          <w:szCs w:val="24"/>
        </w:rPr>
        <w:t>duc</w:t>
      </w:r>
      <w:r w:rsidR="00053020" w:rsidRPr="00C8252C">
        <w:rPr>
          <w:sz w:val="24"/>
          <w:szCs w:val="24"/>
        </w:rPr>
        <w:t xml:space="preserve">ido es un desvalor de la propiedad ocasionado por el paso del tiempo y el deterioro que se ha </w:t>
      </w:r>
      <w:r w:rsidR="007A4214" w:rsidRPr="00C8252C">
        <w:rPr>
          <w:sz w:val="24"/>
          <w:szCs w:val="24"/>
        </w:rPr>
        <w:t>ocasionado</w:t>
      </w:r>
      <w:r w:rsidR="00A44553" w:rsidRPr="00C8252C">
        <w:rPr>
          <w:sz w:val="24"/>
          <w:szCs w:val="24"/>
        </w:rPr>
        <w:t xml:space="preserve"> </w:t>
      </w:r>
      <w:r w:rsidR="002E2CBD" w:rsidRPr="00C8252C">
        <w:rPr>
          <w:sz w:val="24"/>
          <w:szCs w:val="24"/>
        </w:rPr>
        <w:t>como resultado del mismo.</w:t>
      </w:r>
    </w:p>
    <w:p w:rsidR="007A4214" w:rsidRPr="00C8252C" w:rsidRDefault="007A4214" w:rsidP="00564E1A">
      <w:pPr>
        <w:jc w:val="both"/>
        <w:rPr>
          <w:sz w:val="24"/>
          <w:szCs w:val="24"/>
        </w:rPr>
      </w:pPr>
      <w:r w:rsidRPr="00C8252C">
        <w:rPr>
          <w:sz w:val="24"/>
          <w:szCs w:val="24"/>
        </w:rPr>
        <w:t xml:space="preserve">Dado que no ha habido ninguna modificación en la propiedad en los últimos </w:t>
      </w:r>
      <w:r w:rsidR="002E2CBD" w:rsidRPr="00C8252C">
        <w:rPr>
          <w:sz w:val="24"/>
          <w:szCs w:val="24"/>
        </w:rPr>
        <w:t>años</w:t>
      </w:r>
      <w:r w:rsidRPr="00C8252C">
        <w:rPr>
          <w:sz w:val="24"/>
          <w:szCs w:val="24"/>
        </w:rPr>
        <w:t>, en base a las alegaciones antes expuestas:</w:t>
      </w:r>
    </w:p>
    <w:p w:rsidR="00D74140" w:rsidRPr="00C8252C" w:rsidRDefault="007A4214" w:rsidP="00564E1A">
      <w:pPr>
        <w:jc w:val="both"/>
        <w:rPr>
          <w:sz w:val="24"/>
          <w:szCs w:val="24"/>
        </w:rPr>
      </w:pPr>
      <w:r w:rsidRPr="00C8252C">
        <w:rPr>
          <w:sz w:val="24"/>
          <w:szCs w:val="24"/>
        </w:rPr>
        <w:t>S</w:t>
      </w:r>
      <w:r w:rsidR="00A44553" w:rsidRPr="00C8252C">
        <w:rPr>
          <w:sz w:val="24"/>
          <w:szCs w:val="24"/>
        </w:rPr>
        <w:t xml:space="preserve">UPLICO A LA GERENCIA REGIONAL DEL CATASTRO DE </w:t>
      </w:r>
      <w:r w:rsidR="00234FA4" w:rsidRPr="00C8252C">
        <w:rPr>
          <w:sz w:val="24"/>
          <w:szCs w:val="24"/>
        </w:rPr>
        <w:t>MADRID, que</w:t>
      </w:r>
      <w:r w:rsidR="00A44553" w:rsidRPr="00C8252C">
        <w:rPr>
          <w:sz w:val="24"/>
          <w:szCs w:val="24"/>
        </w:rPr>
        <w:t xml:space="preserve"> teniendo por presentado este escrito junto con los documentos que se acompañan, se sirva acordar su unión al expediente de su razón, y tras los trámites necesarios se dicte resolución por </w:t>
      </w:r>
      <w:r w:rsidR="007F690A" w:rsidRPr="00C8252C">
        <w:rPr>
          <w:sz w:val="24"/>
          <w:szCs w:val="24"/>
        </w:rPr>
        <w:t xml:space="preserve">la </w:t>
      </w:r>
      <w:r w:rsidR="000B3BAE" w:rsidRPr="00C8252C">
        <w:rPr>
          <w:sz w:val="24"/>
          <w:szCs w:val="24"/>
        </w:rPr>
        <w:t>que se</w:t>
      </w:r>
      <w:r w:rsidR="00A44553" w:rsidRPr="00C8252C">
        <w:rPr>
          <w:sz w:val="24"/>
          <w:szCs w:val="24"/>
        </w:rPr>
        <w:t xml:space="preserve"> proceda al archivo del expediente sin más consecuencias,</w:t>
      </w:r>
      <w:r w:rsidR="000B3BAE" w:rsidRPr="00C8252C">
        <w:rPr>
          <w:sz w:val="24"/>
          <w:szCs w:val="24"/>
        </w:rPr>
        <w:t xml:space="preserve"> dejando sin ap</w:t>
      </w:r>
      <w:r w:rsidR="00A44553" w:rsidRPr="00C8252C">
        <w:rPr>
          <w:sz w:val="24"/>
          <w:szCs w:val="24"/>
        </w:rPr>
        <w:t xml:space="preserve">licar la tasa de 60 euros y manteniendo el valor catastral anterior a la revisión efectuada. </w:t>
      </w:r>
      <w:r w:rsidR="00A44553" w:rsidRPr="00C8252C">
        <w:rPr>
          <w:sz w:val="24"/>
          <w:szCs w:val="24"/>
        </w:rPr>
        <w:tab/>
      </w:r>
      <w:r w:rsidR="00A44553" w:rsidRPr="00C8252C">
        <w:rPr>
          <w:sz w:val="24"/>
          <w:szCs w:val="24"/>
        </w:rPr>
        <w:tab/>
      </w:r>
    </w:p>
    <w:p w:rsidR="00D74140" w:rsidRPr="00C8252C" w:rsidRDefault="00D74140" w:rsidP="00564E1A">
      <w:pPr>
        <w:jc w:val="both"/>
        <w:rPr>
          <w:sz w:val="24"/>
          <w:szCs w:val="24"/>
        </w:rPr>
      </w:pPr>
    </w:p>
    <w:p w:rsidR="00A44553" w:rsidRPr="00C8252C" w:rsidRDefault="000B3BAE" w:rsidP="000B3BAE">
      <w:pPr>
        <w:ind w:left="3540" w:firstLine="708"/>
        <w:jc w:val="both"/>
        <w:rPr>
          <w:sz w:val="24"/>
          <w:szCs w:val="24"/>
        </w:rPr>
      </w:pPr>
      <w:r w:rsidRPr="00C8252C">
        <w:rPr>
          <w:sz w:val="24"/>
          <w:szCs w:val="24"/>
        </w:rPr>
        <w:t xml:space="preserve">En </w:t>
      </w:r>
      <w:r w:rsidR="00A44553" w:rsidRPr="00C8252C">
        <w:rPr>
          <w:sz w:val="24"/>
          <w:szCs w:val="24"/>
        </w:rPr>
        <w:t xml:space="preserve">Madrid, a    de         </w:t>
      </w:r>
      <w:r w:rsidR="00C8252C">
        <w:rPr>
          <w:sz w:val="24"/>
          <w:szCs w:val="24"/>
        </w:rPr>
        <w:t xml:space="preserve">                        </w:t>
      </w:r>
      <w:proofErr w:type="spellStart"/>
      <w:r w:rsidR="00C8252C">
        <w:rPr>
          <w:sz w:val="24"/>
          <w:szCs w:val="24"/>
        </w:rPr>
        <w:t>de</w:t>
      </w:r>
      <w:proofErr w:type="spellEnd"/>
      <w:r w:rsidR="00C8252C">
        <w:rPr>
          <w:sz w:val="24"/>
          <w:szCs w:val="24"/>
        </w:rPr>
        <w:t xml:space="preserve"> 2017</w:t>
      </w:r>
    </w:p>
    <w:p w:rsidR="006C0F7D" w:rsidRDefault="00160555" w:rsidP="00564E1A">
      <w:pPr>
        <w:jc w:val="both"/>
        <w:rPr>
          <w:sz w:val="24"/>
          <w:szCs w:val="24"/>
        </w:rPr>
      </w:pPr>
      <w:r w:rsidRPr="00C8252C">
        <w:rPr>
          <w:sz w:val="24"/>
          <w:szCs w:val="24"/>
        </w:rPr>
        <w:tab/>
      </w:r>
      <w:r w:rsidRPr="00C8252C">
        <w:rPr>
          <w:sz w:val="24"/>
          <w:szCs w:val="24"/>
        </w:rPr>
        <w:tab/>
      </w:r>
      <w:r w:rsidRPr="00C8252C">
        <w:rPr>
          <w:sz w:val="24"/>
          <w:szCs w:val="24"/>
        </w:rPr>
        <w:tab/>
      </w:r>
      <w:r w:rsidRPr="00C8252C">
        <w:rPr>
          <w:sz w:val="24"/>
          <w:szCs w:val="24"/>
        </w:rPr>
        <w:tab/>
      </w:r>
      <w:r w:rsidRPr="00C8252C">
        <w:rPr>
          <w:sz w:val="24"/>
          <w:szCs w:val="24"/>
        </w:rPr>
        <w:tab/>
      </w:r>
      <w:r w:rsidR="000B3BAE" w:rsidRPr="00C8252C">
        <w:rPr>
          <w:sz w:val="24"/>
          <w:szCs w:val="24"/>
        </w:rPr>
        <w:tab/>
      </w:r>
    </w:p>
    <w:p w:rsidR="00C8252C" w:rsidRDefault="00C8252C" w:rsidP="00564E1A">
      <w:pPr>
        <w:jc w:val="both"/>
        <w:rPr>
          <w:sz w:val="24"/>
          <w:szCs w:val="24"/>
        </w:rPr>
      </w:pPr>
    </w:p>
    <w:p w:rsidR="00C8252C" w:rsidRDefault="00C8252C" w:rsidP="00564E1A">
      <w:pPr>
        <w:jc w:val="both"/>
        <w:rPr>
          <w:sz w:val="24"/>
          <w:szCs w:val="24"/>
        </w:rPr>
      </w:pPr>
    </w:p>
    <w:p w:rsidR="00C8252C" w:rsidRPr="00C8252C" w:rsidRDefault="00C8252C" w:rsidP="00564E1A">
      <w:pPr>
        <w:jc w:val="both"/>
        <w:rPr>
          <w:sz w:val="24"/>
          <w:szCs w:val="24"/>
        </w:rPr>
      </w:pPr>
    </w:p>
    <w:p w:rsidR="00160A8E" w:rsidRPr="00C8252C" w:rsidRDefault="006C0F7D" w:rsidP="006C0F7D">
      <w:pPr>
        <w:ind w:left="3540" w:firstLine="708"/>
        <w:jc w:val="both"/>
        <w:rPr>
          <w:sz w:val="24"/>
          <w:szCs w:val="24"/>
        </w:rPr>
      </w:pPr>
      <w:r w:rsidRPr="00C8252C">
        <w:rPr>
          <w:sz w:val="24"/>
          <w:szCs w:val="24"/>
        </w:rPr>
        <w:t>Firma del titular</w:t>
      </w: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p>
    <w:p w:rsidR="00A44553" w:rsidRPr="00C8252C" w:rsidRDefault="00A44553" w:rsidP="00564E1A">
      <w:pPr>
        <w:jc w:val="both"/>
        <w:rPr>
          <w:sz w:val="24"/>
          <w:szCs w:val="24"/>
        </w:rPr>
      </w:pPr>
      <w:r w:rsidRPr="00C8252C">
        <w:rPr>
          <w:sz w:val="24"/>
          <w:szCs w:val="24"/>
        </w:rPr>
        <w:t>GERENCIA REGIONAL DEL CATASTRO DE MADRID</w:t>
      </w:r>
    </w:p>
    <w:p w:rsidR="00A44553" w:rsidRPr="00C8252C" w:rsidRDefault="00C8252C" w:rsidP="00564E1A">
      <w:pPr>
        <w:jc w:val="both"/>
        <w:rPr>
          <w:sz w:val="24"/>
          <w:szCs w:val="24"/>
        </w:rPr>
      </w:pPr>
      <w:r>
        <w:rPr>
          <w:sz w:val="24"/>
          <w:szCs w:val="24"/>
        </w:rPr>
        <w:lastRenderedPageBreak/>
        <w:t>C</w:t>
      </w:r>
      <w:r w:rsidR="00A44553" w:rsidRPr="00C8252C">
        <w:rPr>
          <w:sz w:val="24"/>
          <w:szCs w:val="24"/>
        </w:rPr>
        <w:t xml:space="preserve">/ Guzmán el Bueno, </w:t>
      </w:r>
      <w:r w:rsidRPr="00C8252C">
        <w:rPr>
          <w:sz w:val="24"/>
          <w:szCs w:val="24"/>
        </w:rPr>
        <w:t>núm.</w:t>
      </w:r>
      <w:r w:rsidR="00A44553" w:rsidRPr="00C8252C">
        <w:rPr>
          <w:sz w:val="24"/>
          <w:szCs w:val="24"/>
        </w:rPr>
        <w:t xml:space="preserve"> 139</w:t>
      </w:r>
    </w:p>
    <w:p w:rsidR="00A44553" w:rsidRPr="00C8252C" w:rsidRDefault="00C8252C" w:rsidP="00564E1A">
      <w:pPr>
        <w:jc w:val="both"/>
        <w:rPr>
          <w:sz w:val="24"/>
          <w:szCs w:val="24"/>
        </w:rPr>
      </w:pPr>
      <w:r>
        <w:rPr>
          <w:sz w:val="24"/>
          <w:szCs w:val="24"/>
        </w:rPr>
        <w:t>28003 Madrid</w:t>
      </w:r>
    </w:p>
    <w:p w:rsidR="00A44553" w:rsidRDefault="00A44553" w:rsidP="00564E1A">
      <w:pPr>
        <w:jc w:val="both"/>
      </w:pPr>
    </w:p>
    <w:sectPr w:rsidR="00A44553" w:rsidSect="00C77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5A"/>
    <w:rsid w:val="00053020"/>
    <w:rsid w:val="000B3BAE"/>
    <w:rsid w:val="00120F5E"/>
    <w:rsid w:val="00125828"/>
    <w:rsid w:val="00160555"/>
    <w:rsid w:val="00160A8E"/>
    <w:rsid w:val="001F481D"/>
    <w:rsid w:val="00234FA4"/>
    <w:rsid w:val="00236804"/>
    <w:rsid w:val="00240D42"/>
    <w:rsid w:val="002D5C32"/>
    <w:rsid w:val="002E2CBD"/>
    <w:rsid w:val="002E34D8"/>
    <w:rsid w:val="00312255"/>
    <w:rsid w:val="00356AB4"/>
    <w:rsid w:val="00386162"/>
    <w:rsid w:val="003A63F1"/>
    <w:rsid w:val="003C4D79"/>
    <w:rsid w:val="00455B36"/>
    <w:rsid w:val="004C2FEF"/>
    <w:rsid w:val="00503004"/>
    <w:rsid w:val="00564E1A"/>
    <w:rsid w:val="005A52D3"/>
    <w:rsid w:val="005B4D53"/>
    <w:rsid w:val="00616053"/>
    <w:rsid w:val="00684E0E"/>
    <w:rsid w:val="006A107B"/>
    <w:rsid w:val="006C0F7D"/>
    <w:rsid w:val="006F0361"/>
    <w:rsid w:val="00755451"/>
    <w:rsid w:val="007A4214"/>
    <w:rsid w:val="007F690A"/>
    <w:rsid w:val="0080238A"/>
    <w:rsid w:val="0085447A"/>
    <w:rsid w:val="008D01EC"/>
    <w:rsid w:val="00970ECF"/>
    <w:rsid w:val="00986C40"/>
    <w:rsid w:val="009C42F3"/>
    <w:rsid w:val="009D413A"/>
    <w:rsid w:val="009E2FFC"/>
    <w:rsid w:val="00A25C46"/>
    <w:rsid w:val="00A44553"/>
    <w:rsid w:val="00A603C1"/>
    <w:rsid w:val="00A93C41"/>
    <w:rsid w:val="00AC2D42"/>
    <w:rsid w:val="00AE612F"/>
    <w:rsid w:val="00B31FB3"/>
    <w:rsid w:val="00B821F2"/>
    <w:rsid w:val="00B91870"/>
    <w:rsid w:val="00C77A75"/>
    <w:rsid w:val="00C8252C"/>
    <w:rsid w:val="00D55A46"/>
    <w:rsid w:val="00D7365A"/>
    <w:rsid w:val="00D74140"/>
    <w:rsid w:val="00D76466"/>
    <w:rsid w:val="00DB178C"/>
    <w:rsid w:val="00DB6E1B"/>
    <w:rsid w:val="00E61FC8"/>
    <w:rsid w:val="00E93131"/>
    <w:rsid w:val="00ED7A3B"/>
    <w:rsid w:val="00F04115"/>
    <w:rsid w:val="00F122E2"/>
    <w:rsid w:val="00F32D68"/>
    <w:rsid w:val="00F91932"/>
    <w:rsid w:val="00FE0F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03C1"/>
    <w:rPr>
      <w:color w:val="0000FF" w:themeColor="hyperlink"/>
      <w:u w:val="single"/>
    </w:rPr>
  </w:style>
  <w:style w:type="character" w:styleId="nfasis">
    <w:name w:val="Emphasis"/>
    <w:basedOn w:val="Fuentedeprrafopredeter"/>
    <w:uiPriority w:val="20"/>
    <w:qFormat/>
    <w:rsid w:val="00A25C46"/>
    <w:rPr>
      <w:i/>
      <w:iCs/>
    </w:rPr>
  </w:style>
  <w:style w:type="paragraph" w:styleId="Textodeglobo">
    <w:name w:val="Balloon Text"/>
    <w:basedOn w:val="Normal"/>
    <w:link w:val="TextodegloboCar"/>
    <w:uiPriority w:val="99"/>
    <w:semiHidden/>
    <w:unhideWhenUsed/>
    <w:rsid w:val="006A1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0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03C1"/>
    <w:rPr>
      <w:color w:val="0000FF" w:themeColor="hyperlink"/>
      <w:u w:val="single"/>
    </w:rPr>
  </w:style>
  <w:style w:type="character" w:styleId="nfasis">
    <w:name w:val="Emphasis"/>
    <w:basedOn w:val="Fuentedeprrafopredeter"/>
    <w:uiPriority w:val="20"/>
    <w:qFormat/>
    <w:rsid w:val="00A25C46"/>
    <w:rPr>
      <w:i/>
      <w:iCs/>
    </w:rPr>
  </w:style>
  <w:style w:type="paragraph" w:styleId="Textodeglobo">
    <w:name w:val="Balloon Text"/>
    <w:basedOn w:val="Normal"/>
    <w:link w:val="TextodegloboCar"/>
    <w:uiPriority w:val="99"/>
    <w:semiHidden/>
    <w:unhideWhenUsed/>
    <w:rsid w:val="006A1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7531</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Mario Mateo Cebrian</cp:lastModifiedBy>
  <cp:revision>2</cp:revision>
  <cp:lastPrinted>2017-09-27T07:39:00Z</cp:lastPrinted>
  <dcterms:created xsi:type="dcterms:W3CDTF">2017-11-08T10:09:00Z</dcterms:created>
  <dcterms:modified xsi:type="dcterms:W3CDTF">2017-11-08T10:09:00Z</dcterms:modified>
</cp:coreProperties>
</file>